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a4b8a72a4442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ba056ef90034daa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702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3543300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09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4948682</wp:posOffset>
                </wp:positionV>
                <wp:extent cx="323786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94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9" w:right="764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19/2024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41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498.821,49,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(quatrocentos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noventa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oitocentos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quarenta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06.04.10.302.0007.2058.3.3.90.39.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Excesso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Arrecadação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03.14.04.123.0003.2008.3.3.90.39.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03.14.04.123.0003.2008.3.3.90.39.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1.1067.4.4.90.51.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-20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69,00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69,00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69,00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494.614,49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494.821,49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06.04.10.302.0007.2034.3.3.90.14.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06.04.10.305.0007.2041.3.3.90.36.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06.04.10.301.0007.2039.3.3.90.36.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06.04.10.301.0007.2040.3.3.90.36.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06.04.10.302.0007.2133.3.3.90.36.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06.04.10.305.0007.2041.3.3.90.39.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06.04.10.302.0007.2034.3.3.90.47.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06.04.10.302.0007.2058.3.3.90.92.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06.04.10.302.0007.2037.3.3.90.40.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89" w:after="0" w:lineRule="auto" w:line="233"/>
      </w:pPr>
      <w:r>
        <mc:AlternateContent>
          <mc:Choice Requires="wpg">
            <w:drawing>
              <wp:anchor allowOverlap="1" layoutInCell="0" relativeHeight="1436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56602</wp:posOffset>
                </wp:positionV>
                <wp:extent cx="3237865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116" w:right="253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285,00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319,55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575,00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625,00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235,00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645,00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126,46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533,99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655,00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89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pnsf$Z58teX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g3wvqycz.png" Id="R8ba056ef90034daa" /><Relationship Type="http://schemas.openxmlformats.org/officeDocument/2006/relationships/settings" Target="settings.xml" Id="Re5b2fd4cbf04480c" /></Relationships>
</file>