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20a53b6a424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6b37bd8220e0477b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782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3854704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61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2" w:right="757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0121/2024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874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1.600,00,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(cento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onze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seiscentos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03.02.04.122.0003.2005.3.1.90.94.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06.04.10.302.0007.2034.3.1.91.13.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03.12.27.812.0019.2029.3.3.90.30.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194" w:left="57" w:right="253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512,36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14.607,64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80.000,00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16.480,00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1.600,00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43"/>
            <w:col w:w="3230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02.01.01.031.0001.2030.3.1.90.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2" w:after="0" w:lineRule="auto" w:line="233"/>
      </w:pPr>
      <w:r>
        <mc:AlternateContent>
          <mc:Choice Requires="wpg">
            <w:drawing>
              <wp:anchor allowOverlap="1" layoutInCell="0" relativeHeight="1003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58380</wp:posOffset>
                </wp:positionV>
                <wp:extent cx="323786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1.600,00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2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1.600,00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03" w:space="2154"/>
            <w:col w:w="3230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Çnsf$Z58teX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gsfqeq3.png" Id="R6b37bd8220e0477b" /><Relationship Type="http://schemas.openxmlformats.org/officeDocument/2006/relationships/settings" Target="settings.xml" Id="R9eaa0ac8c5614e5d" /></Relationships>
</file>